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3AB" w:rsidRDefault="000463AB" w:rsidP="000463AB">
      <w:pPr>
        <w:jc w:val="center"/>
        <w:rPr>
          <w:rFonts w:ascii="Arial" w:hAnsi="Arial" w:cs="Arial"/>
          <w:b/>
          <w:color w:val="C00000"/>
          <w:sz w:val="32"/>
          <w:szCs w:val="32"/>
        </w:rPr>
      </w:pPr>
      <w:r>
        <w:rPr>
          <w:rFonts w:ascii="Arial" w:hAnsi="Arial" w:cs="Arial"/>
          <w:b/>
          <w:noProof/>
          <w:color w:val="C00000"/>
          <w:sz w:val="32"/>
          <w:szCs w:val="32"/>
        </w:rPr>
        <w:drawing>
          <wp:anchor distT="0" distB="0" distL="114300" distR="114300" simplePos="0" relativeHeight="251658240" behindDoc="1" locked="0" layoutInCell="1" allowOverlap="1" wp14:anchorId="35BC64FC">
            <wp:simplePos x="0" y="0"/>
            <wp:positionH relativeFrom="column">
              <wp:posOffset>-447675</wp:posOffset>
            </wp:positionH>
            <wp:positionV relativeFrom="paragraph">
              <wp:posOffset>0</wp:posOffset>
            </wp:positionV>
            <wp:extent cx="1957070" cy="713105"/>
            <wp:effectExtent l="0" t="0" r="5080" b="0"/>
            <wp:wrapTight wrapText="bothSides">
              <wp:wrapPolygon edited="0">
                <wp:start x="0" y="0"/>
                <wp:lineTo x="0" y="20773"/>
                <wp:lineTo x="21446" y="20773"/>
                <wp:lineTo x="214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7070" cy="713105"/>
                    </a:xfrm>
                    <a:prstGeom prst="rect">
                      <a:avLst/>
                    </a:prstGeom>
                    <a:noFill/>
                  </pic:spPr>
                </pic:pic>
              </a:graphicData>
            </a:graphic>
          </wp:anchor>
        </w:drawing>
      </w:r>
    </w:p>
    <w:p w:rsidR="000463AB" w:rsidRDefault="000463AB" w:rsidP="000463AB">
      <w:pPr>
        <w:jc w:val="center"/>
        <w:rPr>
          <w:rFonts w:ascii="Arial" w:hAnsi="Arial" w:cs="Arial"/>
          <w:b/>
          <w:color w:val="C00000"/>
          <w:sz w:val="32"/>
          <w:szCs w:val="32"/>
        </w:rPr>
      </w:pPr>
      <w:bookmarkStart w:id="0" w:name="_GoBack"/>
      <w:bookmarkEnd w:id="0"/>
    </w:p>
    <w:p w:rsidR="000463AB" w:rsidRDefault="000463AB" w:rsidP="000463AB">
      <w:pPr>
        <w:jc w:val="center"/>
        <w:rPr>
          <w:rFonts w:ascii="Arial" w:hAnsi="Arial" w:cs="Arial"/>
          <w:b/>
          <w:color w:val="C00000"/>
          <w:sz w:val="32"/>
          <w:szCs w:val="32"/>
        </w:rPr>
      </w:pPr>
    </w:p>
    <w:p w:rsidR="008B57FC" w:rsidRPr="000463AB" w:rsidRDefault="000463AB" w:rsidP="000463AB">
      <w:pPr>
        <w:jc w:val="center"/>
        <w:rPr>
          <w:rFonts w:ascii="Arial" w:hAnsi="Arial" w:cs="Arial"/>
          <w:b/>
          <w:sz w:val="32"/>
          <w:szCs w:val="32"/>
        </w:rPr>
      </w:pPr>
      <w:r w:rsidRPr="000463AB">
        <w:rPr>
          <w:rFonts w:ascii="Arial" w:hAnsi="Arial" w:cs="Arial"/>
          <w:b/>
          <w:sz w:val="32"/>
          <w:szCs w:val="32"/>
        </w:rPr>
        <w:t xml:space="preserve">BCPC and </w:t>
      </w:r>
      <w:r w:rsidR="008B57FC" w:rsidRPr="000463AB">
        <w:rPr>
          <w:rFonts w:ascii="Arial" w:hAnsi="Arial" w:cs="Arial"/>
          <w:b/>
          <w:sz w:val="32"/>
          <w:szCs w:val="32"/>
        </w:rPr>
        <w:t>Prevent</w:t>
      </w:r>
      <w:r w:rsidRPr="000463AB">
        <w:rPr>
          <w:rFonts w:ascii="Arial" w:hAnsi="Arial" w:cs="Arial"/>
          <w:b/>
          <w:sz w:val="32"/>
          <w:szCs w:val="32"/>
        </w:rPr>
        <w:t xml:space="preserve"> Duty</w:t>
      </w:r>
    </w:p>
    <w:p w:rsidR="008B57FC" w:rsidRPr="008B57FC" w:rsidRDefault="008B57FC">
      <w:pPr>
        <w:rPr>
          <w:rFonts w:ascii="Arial" w:hAnsi="Arial" w:cs="Arial"/>
          <w:sz w:val="24"/>
          <w:szCs w:val="24"/>
        </w:rPr>
      </w:pPr>
      <w:r w:rsidRPr="008B57FC">
        <w:rPr>
          <w:rFonts w:ascii="Arial" w:hAnsi="Arial" w:cs="Arial"/>
          <w:sz w:val="24"/>
          <w:szCs w:val="24"/>
        </w:rPr>
        <w:t>As a higher education provider BCPC are required to adhere to Prevent Duty guidelines and legislation.</w:t>
      </w:r>
    </w:p>
    <w:p w:rsidR="008B57FC" w:rsidRPr="000463AB" w:rsidRDefault="008B57FC" w:rsidP="008B57FC">
      <w:pPr>
        <w:shd w:val="clear" w:color="auto" w:fill="FFFFFF"/>
        <w:spacing w:after="288" w:line="384" w:lineRule="atLeast"/>
        <w:textAlignment w:val="baseline"/>
        <w:outlineLvl w:val="1"/>
        <w:rPr>
          <w:rFonts w:ascii="Arial" w:eastAsia="Times New Roman" w:hAnsi="Arial" w:cs="Arial"/>
          <w:b/>
          <w:sz w:val="24"/>
          <w:szCs w:val="24"/>
          <w:lang w:eastAsia="en-GB"/>
        </w:rPr>
      </w:pPr>
      <w:r w:rsidRPr="000463AB">
        <w:rPr>
          <w:rFonts w:ascii="Arial" w:eastAsia="Times New Roman" w:hAnsi="Arial" w:cs="Arial"/>
          <w:b/>
          <w:sz w:val="24"/>
          <w:szCs w:val="24"/>
          <w:lang w:eastAsia="en-GB"/>
        </w:rPr>
        <w:t>What is the Prevent Duty?</w:t>
      </w:r>
    </w:p>
    <w:p w:rsidR="008B57FC" w:rsidRPr="000463AB" w:rsidRDefault="008B57FC" w:rsidP="000463AB">
      <w:pPr>
        <w:shd w:val="clear" w:color="auto" w:fill="FFFFFF"/>
        <w:spacing w:after="288" w:line="240" w:lineRule="auto"/>
        <w:textAlignment w:val="baseline"/>
        <w:outlineLvl w:val="1"/>
        <w:rPr>
          <w:rFonts w:ascii="Arial" w:eastAsia="Times New Roman" w:hAnsi="Arial" w:cs="Arial"/>
          <w:sz w:val="24"/>
          <w:szCs w:val="24"/>
          <w:lang w:eastAsia="en-GB"/>
        </w:rPr>
      </w:pPr>
      <w:r w:rsidRPr="008B57FC">
        <w:rPr>
          <w:rFonts w:ascii="Arial" w:eastAsia="Times New Roman" w:hAnsi="Arial" w:cs="Arial"/>
          <w:sz w:val="24"/>
          <w:szCs w:val="24"/>
          <w:lang w:eastAsia="en-GB"/>
        </w:rPr>
        <w:t>Under the Counter Terrorism and Security Act 2015 (‘the Act’) relevant higher education bodies (RHEBs) must have due regard to the need to prevent people from being drawn into terrorism. This is known as the Prevent Duty</w:t>
      </w:r>
      <w:r w:rsidR="000463AB">
        <w:rPr>
          <w:rFonts w:ascii="Arial" w:eastAsia="Times New Roman" w:hAnsi="Arial" w:cs="Arial"/>
          <w:sz w:val="24"/>
          <w:szCs w:val="24"/>
          <w:lang w:eastAsia="en-GB"/>
        </w:rPr>
        <w:t xml:space="preserve">. </w:t>
      </w:r>
    </w:p>
    <w:p w:rsidR="008B57FC" w:rsidRPr="008B57FC" w:rsidRDefault="008B57FC" w:rsidP="008B57FC">
      <w:pPr>
        <w:rPr>
          <w:sz w:val="24"/>
          <w:szCs w:val="24"/>
        </w:rPr>
      </w:pPr>
      <w:r w:rsidRPr="008B57FC">
        <w:rPr>
          <w:rFonts w:ascii="Arial" w:hAnsi="Arial" w:cs="Arial"/>
          <w:sz w:val="24"/>
          <w:szCs w:val="24"/>
        </w:rPr>
        <w:t>Our approach in BCPC is to reflect philosophically and psychologically in our training so that we can</w:t>
      </w:r>
      <w:r w:rsidR="00157B91">
        <w:rPr>
          <w:rFonts w:ascii="Arial" w:hAnsi="Arial" w:cs="Arial"/>
          <w:sz w:val="24"/>
          <w:szCs w:val="24"/>
        </w:rPr>
        <w:t xml:space="preserve"> provide a place where any vulnerable</w:t>
      </w:r>
      <w:r w:rsidRPr="008B57FC">
        <w:rPr>
          <w:rFonts w:ascii="Arial" w:hAnsi="Arial" w:cs="Arial"/>
          <w:sz w:val="24"/>
          <w:szCs w:val="24"/>
        </w:rPr>
        <w:t xml:space="preserve"> person seeking counselling might be supported to find positive ways forward in the world they find themselves in. To that end we have been looking at the psychology of ‘extremism’ and staff will be asking students to consider the issue in seminars such as on ‘Working with Difference’, ‘Attitudes and Prejudices’ ‘Adolescence’, Klein and the processes of ‘splitting’.</w:t>
      </w:r>
    </w:p>
    <w:p w:rsidR="008B57FC" w:rsidRPr="008B57FC" w:rsidRDefault="008B57FC" w:rsidP="008B57FC">
      <w:pPr>
        <w:rPr>
          <w:sz w:val="24"/>
          <w:szCs w:val="24"/>
        </w:rPr>
      </w:pPr>
      <w:r>
        <w:rPr>
          <w:rFonts w:ascii="Arial" w:hAnsi="Arial" w:cs="Arial"/>
          <w:sz w:val="24"/>
          <w:szCs w:val="24"/>
        </w:rPr>
        <w:t>T</w:t>
      </w:r>
      <w:r w:rsidRPr="008B57FC">
        <w:rPr>
          <w:rFonts w:ascii="Arial" w:hAnsi="Arial" w:cs="Arial"/>
          <w:sz w:val="24"/>
          <w:szCs w:val="24"/>
        </w:rPr>
        <w:t xml:space="preserve">he Programme </w:t>
      </w:r>
      <w:r>
        <w:rPr>
          <w:rFonts w:ascii="Arial" w:hAnsi="Arial" w:cs="Arial"/>
          <w:sz w:val="24"/>
          <w:szCs w:val="24"/>
        </w:rPr>
        <w:t xml:space="preserve">Handbook for your course </w:t>
      </w:r>
      <w:r w:rsidRPr="008B57FC">
        <w:rPr>
          <w:rFonts w:ascii="Arial" w:hAnsi="Arial" w:cs="Arial"/>
          <w:sz w:val="24"/>
          <w:szCs w:val="24"/>
        </w:rPr>
        <w:t>outlines our code of practice regarding Confidentiality and the Law. In addition, please refer to the link below, which provides further information on how BCPC is monitored in line with Prevent legislation.</w:t>
      </w:r>
    </w:p>
    <w:p w:rsidR="008B57FC" w:rsidRDefault="000463AB" w:rsidP="008B57FC">
      <w:pPr>
        <w:rPr>
          <w:rStyle w:val="Hyperlink"/>
          <w:rFonts w:ascii="Arial" w:hAnsi="Arial" w:cs="Arial"/>
          <w:color w:val="954F72"/>
          <w:sz w:val="24"/>
          <w:szCs w:val="24"/>
        </w:rPr>
      </w:pPr>
      <w:hyperlink r:id="rId5" w:history="1">
        <w:r w:rsidR="008B57FC" w:rsidRPr="008B57FC">
          <w:rPr>
            <w:rStyle w:val="Hyperlink"/>
            <w:rFonts w:ascii="Arial" w:hAnsi="Arial" w:cs="Arial"/>
            <w:color w:val="954F72"/>
            <w:sz w:val="24"/>
            <w:szCs w:val="24"/>
          </w:rPr>
          <w:t>http://www.hefce.ac.uk/reg/prevent/framework/</w:t>
        </w:r>
      </w:hyperlink>
    </w:p>
    <w:p w:rsidR="000463AB" w:rsidRDefault="000463AB" w:rsidP="000463AB">
      <w:pPr>
        <w:rPr>
          <w:rFonts w:ascii="Arial" w:hAnsi="Arial" w:cs="Arial"/>
          <w:sz w:val="24"/>
          <w:szCs w:val="24"/>
        </w:rPr>
      </w:pPr>
    </w:p>
    <w:p w:rsidR="000463AB" w:rsidRDefault="000463AB" w:rsidP="000463AB">
      <w:pPr>
        <w:rPr>
          <w:rFonts w:ascii="Arial" w:hAnsi="Arial" w:cs="Arial"/>
          <w:sz w:val="24"/>
          <w:szCs w:val="24"/>
        </w:rPr>
      </w:pPr>
      <w:r w:rsidRPr="00020C7D">
        <w:rPr>
          <w:rFonts w:ascii="Arial" w:hAnsi="Arial" w:cs="Arial"/>
          <w:noProof/>
          <w:sz w:val="24"/>
          <w:szCs w:val="24"/>
          <w:lang w:eastAsia="en-GB"/>
        </w:rPr>
        <w:drawing>
          <wp:inline distT="0" distB="0" distL="0" distR="0" wp14:anchorId="50150661" wp14:editId="51A2A9A7">
            <wp:extent cx="2050819" cy="295275"/>
            <wp:effectExtent l="0" t="0" r="6985" b="0"/>
            <wp:docPr id="2" name="Picture 2" descr="S:\Office &amp; facilities admin\Scanned Signatures\tre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 &amp; facilities admin\Scanned Signatures\tree signa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0750" cy="305344"/>
                    </a:xfrm>
                    <a:prstGeom prst="rect">
                      <a:avLst/>
                    </a:prstGeom>
                    <a:noFill/>
                    <a:ln>
                      <a:noFill/>
                    </a:ln>
                  </pic:spPr>
                </pic:pic>
              </a:graphicData>
            </a:graphic>
          </wp:inline>
        </w:drawing>
      </w:r>
    </w:p>
    <w:p w:rsidR="000463AB" w:rsidRDefault="000463AB" w:rsidP="000463AB">
      <w:pPr>
        <w:rPr>
          <w:rFonts w:ascii="Arial" w:hAnsi="Arial" w:cs="Arial"/>
          <w:sz w:val="24"/>
          <w:szCs w:val="24"/>
        </w:rPr>
      </w:pPr>
      <w:r>
        <w:rPr>
          <w:rFonts w:ascii="Arial" w:hAnsi="Arial" w:cs="Arial"/>
          <w:sz w:val="24"/>
          <w:szCs w:val="24"/>
        </w:rPr>
        <w:t>Tree Staunton</w:t>
      </w:r>
    </w:p>
    <w:p w:rsidR="000463AB" w:rsidRDefault="000463AB" w:rsidP="000463AB">
      <w:pPr>
        <w:rPr>
          <w:rFonts w:ascii="Arial" w:hAnsi="Arial" w:cs="Arial"/>
          <w:sz w:val="24"/>
          <w:szCs w:val="24"/>
        </w:rPr>
      </w:pPr>
      <w:r>
        <w:rPr>
          <w:rFonts w:ascii="Arial" w:hAnsi="Arial" w:cs="Arial"/>
          <w:sz w:val="24"/>
          <w:szCs w:val="24"/>
        </w:rPr>
        <w:t>BCPC Director</w:t>
      </w:r>
    </w:p>
    <w:p w:rsidR="000463AB" w:rsidRDefault="000463AB" w:rsidP="000463AB">
      <w:pPr>
        <w:rPr>
          <w:rFonts w:ascii="Arial" w:hAnsi="Arial" w:cs="Arial"/>
          <w:sz w:val="24"/>
          <w:szCs w:val="24"/>
        </w:rPr>
      </w:pPr>
      <w:r>
        <w:rPr>
          <w:rFonts w:ascii="Arial" w:hAnsi="Arial" w:cs="Arial"/>
          <w:sz w:val="24"/>
          <w:szCs w:val="24"/>
        </w:rPr>
        <w:t>February 2017</w:t>
      </w:r>
    </w:p>
    <w:p w:rsidR="000463AB" w:rsidRPr="008B57FC" w:rsidRDefault="000463AB" w:rsidP="008B57FC">
      <w:pPr>
        <w:rPr>
          <w:sz w:val="24"/>
          <w:szCs w:val="24"/>
        </w:rPr>
      </w:pPr>
    </w:p>
    <w:p w:rsidR="008B57FC" w:rsidRDefault="008B57FC" w:rsidP="008B57FC"/>
    <w:p w:rsidR="008B57FC" w:rsidRPr="008B57FC" w:rsidRDefault="008B57FC">
      <w:pPr>
        <w:rPr>
          <w:rFonts w:ascii="Arial" w:hAnsi="Arial" w:cs="Arial"/>
          <w:sz w:val="24"/>
          <w:szCs w:val="24"/>
        </w:rPr>
      </w:pPr>
    </w:p>
    <w:p w:rsidR="008B57FC" w:rsidRDefault="008B57FC"/>
    <w:p w:rsidR="008B57FC" w:rsidRDefault="008B57FC"/>
    <w:sectPr w:rsidR="008B57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FC"/>
    <w:rsid w:val="000463AB"/>
    <w:rsid w:val="00157B91"/>
    <w:rsid w:val="008B57FC"/>
    <w:rsid w:val="00AB0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0EA09A"/>
  <w15:chartTrackingRefBased/>
  <w15:docId w15:val="{145EF271-373C-46D9-B5B6-B4CB28F2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B57F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57FC"/>
    <w:rPr>
      <w:color w:val="0000FF"/>
      <w:u w:val="single"/>
    </w:rPr>
  </w:style>
  <w:style w:type="character" w:customStyle="1" w:styleId="Heading2Char">
    <w:name w:val="Heading 2 Char"/>
    <w:basedOn w:val="DefaultParagraphFont"/>
    <w:link w:val="Heading2"/>
    <w:uiPriority w:val="9"/>
    <w:rsid w:val="008B57F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B57F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837753">
      <w:bodyDiv w:val="1"/>
      <w:marLeft w:val="0"/>
      <w:marRight w:val="0"/>
      <w:marTop w:val="0"/>
      <w:marBottom w:val="0"/>
      <w:divBdr>
        <w:top w:val="none" w:sz="0" w:space="0" w:color="auto"/>
        <w:left w:val="none" w:sz="0" w:space="0" w:color="auto"/>
        <w:bottom w:val="none" w:sz="0" w:space="0" w:color="auto"/>
        <w:right w:val="none" w:sz="0" w:space="0" w:color="auto"/>
      </w:divBdr>
    </w:div>
    <w:div w:id="154390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hefce.ac.uk/reg/prevent/framewor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Polly@BCPC.local</cp:lastModifiedBy>
  <cp:revision>3</cp:revision>
  <dcterms:created xsi:type="dcterms:W3CDTF">2017-01-24T16:27:00Z</dcterms:created>
  <dcterms:modified xsi:type="dcterms:W3CDTF">2018-02-22T14:57:00Z</dcterms:modified>
</cp:coreProperties>
</file>